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46" w:type="dxa"/>
        <w:jc w:val="center"/>
        <w:tblLook w:val="04A0" w:firstRow="1" w:lastRow="0" w:firstColumn="1" w:lastColumn="0" w:noHBand="0" w:noVBand="1"/>
      </w:tblPr>
      <w:tblGrid>
        <w:gridCol w:w="5573"/>
        <w:gridCol w:w="5573"/>
      </w:tblGrid>
      <w:tr w:rsidR="00E2251D" w:rsidRPr="00E2251D" w:rsidTr="00530A16">
        <w:trPr>
          <w:trHeight w:val="1721"/>
          <w:jc w:val="center"/>
        </w:trPr>
        <w:tc>
          <w:tcPr>
            <w:tcW w:w="5573" w:type="dxa"/>
            <w:tcMar>
              <w:top w:w="14" w:type="dxa"/>
              <w:left w:w="14" w:type="dxa"/>
              <w:bottom w:w="14" w:type="dxa"/>
              <w:right w:w="14" w:type="dxa"/>
            </w:tcMar>
            <w:vAlign w:val="center"/>
          </w:tcPr>
          <w:p w:rsidR="00E2251D" w:rsidRPr="00F62A56" w:rsidRDefault="00F62A56" w:rsidP="00F62A56">
            <w:pPr>
              <w:jc w:val="center"/>
              <w:rPr>
                <w:b/>
                <w:sz w:val="40"/>
                <w:szCs w:val="40"/>
              </w:rPr>
            </w:pPr>
            <w:r w:rsidRPr="00F62A56">
              <w:rPr>
                <w:b/>
                <w:sz w:val="40"/>
                <w:szCs w:val="40"/>
              </w:rPr>
              <w:t>Black Codes</w:t>
            </w:r>
          </w:p>
        </w:tc>
        <w:tc>
          <w:tcPr>
            <w:tcW w:w="5573" w:type="dxa"/>
            <w:tcMar>
              <w:top w:w="14" w:type="dxa"/>
              <w:left w:w="14" w:type="dxa"/>
              <w:bottom w:w="14" w:type="dxa"/>
              <w:right w:w="14" w:type="dxa"/>
            </w:tcMar>
            <w:vAlign w:val="center"/>
          </w:tcPr>
          <w:p w:rsidR="00813A24" w:rsidRPr="005F74B5" w:rsidRDefault="00813A24" w:rsidP="00B232CD">
            <w:pPr>
              <w:jc w:val="center"/>
              <w:rPr>
                <w:b/>
                <w:sz w:val="28"/>
                <w:szCs w:val="28"/>
              </w:rPr>
            </w:pPr>
            <w:r w:rsidRPr="005F74B5">
              <w:rPr>
                <w:sz w:val="28"/>
                <w:szCs w:val="28"/>
              </w:rPr>
              <w:t>Laws that placed limits on African Americans in the time period after the Civil War</w:t>
            </w:r>
          </w:p>
          <w:p w:rsidR="00E2251D" w:rsidRPr="005F74B5" w:rsidRDefault="00E2251D" w:rsidP="00B232CD">
            <w:pPr>
              <w:jc w:val="center"/>
              <w:rPr>
                <w:b/>
                <w:sz w:val="24"/>
                <w:szCs w:val="24"/>
              </w:rPr>
            </w:pP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r w:rsidRPr="00F62A56">
              <w:rPr>
                <w:b/>
                <w:sz w:val="40"/>
                <w:szCs w:val="40"/>
              </w:rPr>
              <w:t>Jim Crow</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E2251D" w:rsidRPr="005F74B5" w:rsidRDefault="00813A24" w:rsidP="00B232CD">
            <w:pPr>
              <w:jc w:val="center"/>
              <w:rPr>
                <w:sz w:val="28"/>
                <w:szCs w:val="28"/>
              </w:rPr>
            </w:pPr>
            <w:r w:rsidRPr="005F74B5">
              <w:rPr>
                <w:sz w:val="28"/>
                <w:szCs w:val="28"/>
              </w:rPr>
              <w:t>Often used to describe the segregation laws, rules, and customs which arose after the Civil War</w:t>
            </w: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r w:rsidRPr="00F62A56">
              <w:rPr>
                <w:b/>
                <w:sz w:val="40"/>
                <w:szCs w:val="40"/>
              </w:rPr>
              <w:t>13</w:t>
            </w:r>
            <w:r w:rsidRPr="00F62A56">
              <w:rPr>
                <w:b/>
                <w:sz w:val="40"/>
                <w:szCs w:val="40"/>
                <w:vertAlign w:val="superscript"/>
              </w:rPr>
              <w:t>th</w:t>
            </w:r>
            <w:r w:rsidRPr="00F62A56">
              <w:rPr>
                <w:b/>
                <w:sz w:val="40"/>
                <w:szCs w:val="40"/>
              </w:rPr>
              <w:t xml:space="preserve"> Amendment</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813A24" w:rsidRPr="00813A24" w:rsidRDefault="00813A24" w:rsidP="00B232CD">
            <w:pPr>
              <w:spacing w:line="360" w:lineRule="auto"/>
              <w:jc w:val="center"/>
              <w:rPr>
                <w:rFonts w:ascii="Times New Roman" w:eastAsia="Times New Roman" w:hAnsi="Times New Roman" w:cs="Times New Roman"/>
                <w:sz w:val="28"/>
                <w:szCs w:val="28"/>
              </w:rPr>
            </w:pPr>
            <w:r w:rsidRPr="00813A24">
              <w:rPr>
                <w:rFonts w:ascii="Times New Roman" w:eastAsia="Times New Roman" w:hAnsi="Times New Roman" w:cs="Times New Roman"/>
                <w:sz w:val="28"/>
                <w:szCs w:val="28"/>
              </w:rPr>
              <w:t>Amendment which stated "Neither slavery nor involuntary servitude...shall exist within the United States."</w:t>
            </w:r>
          </w:p>
          <w:p w:rsidR="00E2251D" w:rsidRPr="005F74B5" w:rsidRDefault="00E2251D" w:rsidP="00B232CD">
            <w:pPr>
              <w:jc w:val="center"/>
              <w:rPr>
                <w:sz w:val="24"/>
                <w:szCs w:val="24"/>
              </w:rPr>
            </w:pP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r w:rsidRPr="00F62A56">
              <w:rPr>
                <w:b/>
                <w:sz w:val="40"/>
                <w:szCs w:val="40"/>
              </w:rPr>
              <w:t>14</w:t>
            </w:r>
            <w:r w:rsidRPr="00F62A56">
              <w:rPr>
                <w:b/>
                <w:sz w:val="40"/>
                <w:szCs w:val="40"/>
                <w:vertAlign w:val="superscript"/>
              </w:rPr>
              <w:t>th</w:t>
            </w:r>
            <w:r w:rsidRPr="00F62A56">
              <w:rPr>
                <w:b/>
                <w:sz w:val="40"/>
                <w:szCs w:val="40"/>
              </w:rPr>
              <w:t xml:space="preserve"> Amendment</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B232CD">
            <w:pPr>
              <w:spacing w:line="360" w:lineRule="auto"/>
              <w:jc w:val="center"/>
              <w:rPr>
                <w:rFonts w:ascii="Times New Roman" w:eastAsia="Times New Roman" w:hAnsi="Times New Roman" w:cs="Times New Roman"/>
              </w:rPr>
            </w:pPr>
            <w:r w:rsidRPr="007C617B">
              <w:rPr>
                <w:rFonts w:ascii="Times New Roman" w:eastAsia="Times New Roman" w:hAnsi="Times New Roman" w:cs="Times New Roman"/>
              </w:rPr>
              <w:t>Amendment which stated “all persons born or naturalized in the United States,” were citizens and could not be denied "life, liberty or property, without due process of law"</w:t>
            </w:r>
          </w:p>
          <w:p w:rsidR="00E2251D" w:rsidRPr="005F74B5" w:rsidRDefault="00E2251D" w:rsidP="00B232CD">
            <w:pPr>
              <w:jc w:val="center"/>
              <w:rPr>
                <w:sz w:val="24"/>
                <w:szCs w:val="24"/>
              </w:rPr>
            </w:pP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r w:rsidRPr="00F62A56">
              <w:rPr>
                <w:b/>
                <w:sz w:val="40"/>
                <w:szCs w:val="40"/>
              </w:rPr>
              <w:t>15</w:t>
            </w:r>
            <w:r w:rsidRPr="00F62A56">
              <w:rPr>
                <w:b/>
                <w:sz w:val="40"/>
                <w:szCs w:val="40"/>
                <w:vertAlign w:val="superscript"/>
              </w:rPr>
              <w:t>th</w:t>
            </w:r>
            <w:r w:rsidRPr="00F62A56">
              <w:rPr>
                <w:b/>
                <w:sz w:val="40"/>
                <w:szCs w:val="40"/>
              </w:rPr>
              <w:t xml:space="preserve"> Amendment</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B232CD">
            <w:pPr>
              <w:spacing w:line="360" w:lineRule="auto"/>
              <w:jc w:val="center"/>
              <w:rPr>
                <w:rFonts w:ascii="Times New Roman" w:eastAsia="Times New Roman" w:hAnsi="Times New Roman" w:cs="Times New Roman"/>
              </w:rPr>
            </w:pPr>
            <w:r w:rsidRPr="007C617B">
              <w:rPr>
                <w:rFonts w:ascii="Times New Roman" w:eastAsia="Times New Roman" w:hAnsi="Times New Roman" w:cs="Times New Roman"/>
              </w:rPr>
              <w:t>The "right of citizens of the United States to vote shall not be denied or abridged by the United States or by any state on account of race, color, or previous condition of servitude."</w:t>
            </w:r>
          </w:p>
          <w:p w:rsidR="00E2251D" w:rsidRPr="005F74B5" w:rsidRDefault="00E2251D" w:rsidP="00B232CD">
            <w:pPr>
              <w:jc w:val="center"/>
              <w:rPr>
                <w:sz w:val="24"/>
                <w:szCs w:val="24"/>
              </w:rPr>
            </w:pP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r w:rsidRPr="00F62A56">
              <w:rPr>
                <w:b/>
                <w:sz w:val="40"/>
                <w:szCs w:val="40"/>
              </w:rPr>
              <w:t>Segregation</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E2251D" w:rsidRPr="005F74B5" w:rsidRDefault="00813A24" w:rsidP="00B232CD">
            <w:pPr>
              <w:jc w:val="center"/>
              <w:rPr>
                <w:sz w:val="36"/>
                <w:szCs w:val="36"/>
              </w:rPr>
            </w:pPr>
            <w:r w:rsidRPr="005F74B5">
              <w:rPr>
                <w:sz w:val="36"/>
                <w:szCs w:val="36"/>
              </w:rPr>
              <w:t>separating people based on race</w:t>
            </w: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r w:rsidRPr="00F62A56">
              <w:rPr>
                <w:b/>
                <w:sz w:val="40"/>
                <w:szCs w:val="40"/>
              </w:rPr>
              <w:t>Discrimination</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813A24" w:rsidRPr="00813A24" w:rsidRDefault="00813A24" w:rsidP="00B232CD">
            <w:pPr>
              <w:spacing w:line="360" w:lineRule="auto"/>
              <w:jc w:val="center"/>
              <w:rPr>
                <w:rFonts w:ascii="Times New Roman" w:eastAsia="Times New Roman" w:hAnsi="Times New Roman" w:cs="Times New Roman"/>
                <w:sz w:val="24"/>
                <w:szCs w:val="24"/>
              </w:rPr>
            </w:pPr>
            <w:r w:rsidRPr="00813A24">
              <w:rPr>
                <w:rFonts w:ascii="Times New Roman" w:eastAsia="Times New Roman" w:hAnsi="Times New Roman" w:cs="Times New Roman"/>
                <w:sz w:val="24"/>
                <w:szCs w:val="24"/>
              </w:rPr>
              <w:t>Treating people differently usually unfairly because they belong to a particular group</w:t>
            </w:r>
          </w:p>
          <w:p w:rsidR="00E2251D" w:rsidRPr="005F74B5" w:rsidRDefault="00E2251D" w:rsidP="00B232CD">
            <w:pPr>
              <w:jc w:val="center"/>
              <w:rPr>
                <w:sz w:val="24"/>
                <w:szCs w:val="24"/>
              </w:rPr>
            </w:pPr>
          </w:p>
        </w:tc>
      </w:tr>
      <w:tr w:rsidR="00E2251D" w:rsidTr="00530A16">
        <w:trPr>
          <w:trHeight w:val="1721"/>
          <w:jc w:val="center"/>
        </w:trPr>
        <w:tc>
          <w:tcPr>
            <w:tcW w:w="5573" w:type="dxa"/>
            <w:tcMar>
              <w:top w:w="14" w:type="dxa"/>
              <w:left w:w="14" w:type="dxa"/>
              <w:bottom w:w="14" w:type="dxa"/>
              <w:right w:w="14" w:type="dxa"/>
            </w:tcMar>
            <w:vAlign w:val="center"/>
          </w:tcPr>
          <w:p w:rsidR="00F62A56" w:rsidRPr="00F62A56" w:rsidRDefault="00F62A56" w:rsidP="00F62A56">
            <w:pPr>
              <w:jc w:val="center"/>
              <w:rPr>
                <w:b/>
                <w:sz w:val="40"/>
                <w:szCs w:val="40"/>
              </w:rPr>
            </w:pPr>
            <w:proofErr w:type="spellStart"/>
            <w:r w:rsidRPr="00F62A56">
              <w:rPr>
                <w:b/>
                <w:sz w:val="40"/>
                <w:szCs w:val="40"/>
              </w:rPr>
              <w:t>Plessy</w:t>
            </w:r>
            <w:proofErr w:type="spellEnd"/>
            <w:r w:rsidRPr="00F62A56">
              <w:rPr>
                <w:b/>
                <w:sz w:val="40"/>
                <w:szCs w:val="40"/>
              </w:rPr>
              <w:t xml:space="preserve"> v. Ferguson</w:t>
            </w:r>
          </w:p>
          <w:p w:rsidR="00E2251D" w:rsidRPr="00F62A56" w:rsidRDefault="00E2251D" w:rsidP="00F62A56">
            <w:pPr>
              <w:jc w:val="center"/>
              <w:rPr>
                <w:b/>
                <w:sz w:val="40"/>
                <w:szCs w:val="40"/>
              </w:rPr>
            </w:pPr>
          </w:p>
        </w:tc>
        <w:tc>
          <w:tcPr>
            <w:tcW w:w="5573" w:type="dxa"/>
            <w:tcMar>
              <w:top w:w="14" w:type="dxa"/>
              <w:left w:w="14" w:type="dxa"/>
              <w:bottom w:w="14" w:type="dxa"/>
              <w:right w:w="14" w:type="dxa"/>
            </w:tcMar>
            <w:vAlign w:val="center"/>
          </w:tcPr>
          <w:p w:rsidR="00E2251D" w:rsidRPr="005F74B5" w:rsidRDefault="005F74B5" w:rsidP="00B232CD">
            <w:pPr>
              <w:spacing w:line="360" w:lineRule="auto"/>
              <w:jc w:val="center"/>
              <w:rPr>
                <w:sz w:val="24"/>
                <w:szCs w:val="24"/>
              </w:rPr>
            </w:pPr>
            <w:r w:rsidRPr="00813A24">
              <w:rPr>
                <w:rFonts w:ascii="Times New Roman" w:eastAsia="Times New Roman" w:hAnsi="Times New Roman" w:cs="Times New Roman"/>
                <w:sz w:val="24"/>
                <w:szCs w:val="24"/>
              </w:rPr>
              <w:t>Supreme Court case in which the 14</w:t>
            </w:r>
            <w:r w:rsidRPr="00813A24">
              <w:rPr>
                <w:rFonts w:ascii="Times New Roman" w:eastAsia="Times New Roman" w:hAnsi="Times New Roman" w:cs="Times New Roman"/>
                <w:sz w:val="24"/>
                <w:szCs w:val="24"/>
                <w:vertAlign w:val="superscript"/>
              </w:rPr>
              <w:t>th</w:t>
            </w:r>
            <w:r w:rsidRPr="00813A24">
              <w:rPr>
                <w:rFonts w:ascii="Times New Roman" w:eastAsia="Times New Roman" w:hAnsi="Times New Roman" w:cs="Times New Roman"/>
                <w:sz w:val="24"/>
                <w:szCs w:val="24"/>
              </w:rPr>
              <w:t xml:space="preserve"> Amendment was interpreted to mean “separate but equal”</w:t>
            </w:r>
          </w:p>
        </w:tc>
      </w:tr>
    </w:tbl>
    <w:tbl>
      <w:tblPr>
        <w:tblStyle w:val="TableGrid"/>
        <w:tblpPr w:leftFromText="180" w:rightFromText="180" w:vertAnchor="text" w:horzAnchor="margin" w:tblpY="-310"/>
        <w:tblW w:w="11146" w:type="dxa"/>
        <w:tblLook w:val="04A0" w:firstRow="1" w:lastRow="0" w:firstColumn="1" w:lastColumn="0" w:noHBand="0" w:noVBand="1"/>
      </w:tblPr>
      <w:tblGrid>
        <w:gridCol w:w="5573"/>
        <w:gridCol w:w="5573"/>
      </w:tblGrid>
      <w:tr w:rsidR="005F74B5" w:rsidRPr="00E2251D"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lastRenderedPageBreak/>
              <w:br w:type="page"/>
              <w:t>Brown v. Board of Education</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spacing w:line="360" w:lineRule="auto"/>
              <w:jc w:val="center"/>
              <w:rPr>
                <w:rFonts w:ascii="Times New Roman" w:eastAsia="Times New Roman" w:hAnsi="Times New Roman" w:cs="Times New Roman"/>
                <w:sz w:val="28"/>
                <w:szCs w:val="28"/>
              </w:rPr>
            </w:pPr>
            <w:r w:rsidRPr="007C617B">
              <w:rPr>
                <w:rFonts w:ascii="Times New Roman" w:eastAsia="Times New Roman" w:hAnsi="Times New Roman" w:cs="Times New Roman"/>
                <w:sz w:val="28"/>
                <w:szCs w:val="28"/>
              </w:rPr>
              <w:t>Supreme Court case in which schools were determined to be “inherently unequal”</w:t>
            </w:r>
          </w:p>
          <w:p w:rsidR="005F74B5" w:rsidRPr="007C617B" w:rsidRDefault="005F74B5" w:rsidP="007C617B">
            <w:pPr>
              <w:spacing w:line="360" w:lineRule="auto"/>
              <w:jc w:val="center"/>
              <w:rPr>
                <w:rFonts w:ascii="Times New Roman" w:eastAsia="Times New Roman" w:hAnsi="Times New Roman" w:cs="Times New Roman"/>
                <w:sz w:val="28"/>
                <w:szCs w:val="28"/>
              </w:rPr>
            </w:pPr>
          </w:p>
          <w:p w:rsidR="005F74B5" w:rsidRPr="007C617B" w:rsidRDefault="005F74B5" w:rsidP="007C617B">
            <w:pPr>
              <w:jc w:val="center"/>
              <w:rPr>
                <w:b/>
                <w:sz w:val="28"/>
                <w:szCs w:val="28"/>
              </w:rPr>
            </w:pP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Race</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spacing w:line="360" w:lineRule="auto"/>
              <w:jc w:val="center"/>
              <w:rPr>
                <w:rFonts w:ascii="Times New Roman" w:eastAsia="Times New Roman" w:hAnsi="Times New Roman" w:cs="Times New Roman"/>
                <w:sz w:val="28"/>
                <w:szCs w:val="28"/>
              </w:rPr>
            </w:pPr>
            <w:r w:rsidRPr="007C617B">
              <w:rPr>
                <w:rFonts w:ascii="Times New Roman" w:eastAsia="Times New Roman" w:hAnsi="Times New Roman" w:cs="Times New Roman"/>
                <w:sz w:val="28"/>
                <w:szCs w:val="28"/>
              </w:rPr>
              <w:t>A classification of human beings based on the idea that people can be divided into separate genetic groups often based on skin tone.</w:t>
            </w:r>
          </w:p>
          <w:p w:rsidR="005F74B5" w:rsidRPr="007C617B" w:rsidRDefault="005F74B5" w:rsidP="007C617B">
            <w:pPr>
              <w:jc w:val="center"/>
              <w:rPr>
                <w:sz w:val="28"/>
                <w:szCs w:val="28"/>
              </w:rPr>
            </w:pP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Ratify</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jc w:val="center"/>
              <w:rPr>
                <w:sz w:val="28"/>
                <w:szCs w:val="28"/>
              </w:rPr>
            </w:pPr>
            <w:r w:rsidRPr="007C617B">
              <w:rPr>
                <w:sz w:val="28"/>
                <w:szCs w:val="28"/>
              </w:rPr>
              <w:t xml:space="preserve">Process by which </w:t>
            </w:r>
            <w:r w:rsidRPr="007C617B">
              <w:rPr>
                <w:sz w:val="28"/>
                <w:szCs w:val="28"/>
              </w:rPr>
              <w:t>states and Congress pass a bill</w:t>
            </w: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Bill of Rights</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jc w:val="center"/>
              <w:rPr>
                <w:sz w:val="28"/>
                <w:szCs w:val="28"/>
              </w:rPr>
            </w:pPr>
            <w:r w:rsidRPr="007C617B">
              <w:rPr>
                <w:sz w:val="28"/>
                <w:szCs w:val="28"/>
              </w:rPr>
              <w:t>The first Ten Amendments to the constitution</w:t>
            </w: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Servitude</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jc w:val="center"/>
              <w:rPr>
                <w:sz w:val="28"/>
                <w:szCs w:val="28"/>
              </w:rPr>
            </w:pPr>
            <w:r w:rsidRPr="007C617B">
              <w:rPr>
                <w:sz w:val="28"/>
                <w:szCs w:val="28"/>
              </w:rPr>
              <w:t>Another word for slavery</w:t>
            </w: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Due process</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spacing w:line="360" w:lineRule="auto"/>
              <w:jc w:val="center"/>
              <w:rPr>
                <w:rFonts w:ascii="Times New Roman" w:eastAsia="Times New Roman" w:hAnsi="Times New Roman" w:cs="Times New Roman"/>
                <w:sz w:val="28"/>
                <w:szCs w:val="28"/>
              </w:rPr>
            </w:pPr>
            <w:r w:rsidRPr="007C617B">
              <w:rPr>
                <w:rFonts w:ascii="Times New Roman" w:eastAsia="Times New Roman" w:hAnsi="Times New Roman" w:cs="Times New Roman"/>
                <w:sz w:val="28"/>
                <w:szCs w:val="28"/>
              </w:rPr>
              <w:t>No citizen may be denied his or her legal rights and all laws must conform to fundamental, accepted legal principles</w:t>
            </w:r>
          </w:p>
          <w:p w:rsidR="005F74B5" w:rsidRPr="007C617B" w:rsidRDefault="005F74B5" w:rsidP="007C617B">
            <w:pPr>
              <w:jc w:val="center"/>
              <w:rPr>
                <w:sz w:val="28"/>
                <w:szCs w:val="28"/>
              </w:rPr>
            </w:pP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Separate but equal</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jc w:val="center"/>
              <w:rPr>
                <w:sz w:val="28"/>
                <w:szCs w:val="28"/>
              </w:rPr>
            </w:pPr>
            <w:r w:rsidRPr="007C617B">
              <w:rPr>
                <w:sz w:val="28"/>
                <w:szCs w:val="28"/>
              </w:rPr>
              <w:t>The idea that individual facilities would be the same</w:t>
            </w:r>
          </w:p>
        </w:tc>
      </w:tr>
      <w:tr w:rsidR="005F74B5" w:rsidTr="00530A16">
        <w:trPr>
          <w:trHeight w:val="1791"/>
        </w:trPr>
        <w:tc>
          <w:tcPr>
            <w:tcW w:w="5573" w:type="dxa"/>
            <w:tcMar>
              <w:top w:w="14" w:type="dxa"/>
              <w:left w:w="14" w:type="dxa"/>
              <w:bottom w:w="14" w:type="dxa"/>
              <w:right w:w="14" w:type="dxa"/>
            </w:tcMar>
            <w:vAlign w:val="center"/>
          </w:tcPr>
          <w:p w:rsidR="005F74B5" w:rsidRPr="00F62A56" w:rsidRDefault="005F74B5" w:rsidP="005F74B5">
            <w:pPr>
              <w:jc w:val="center"/>
              <w:rPr>
                <w:b/>
                <w:sz w:val="40"/>
                <w:szCs w:val="40"/>
              </w:rPr>
            </w:pPr>
            <w:r w:rsidRPr="00F62A56">
              <w:rPr>
                <w:b/>
                <w:sz w:val="40"/>
                <w:szCs w:val="40"/>
              </w:rPr>
              <w:t>Constitution</w:t>
            </w:r>
          </w:p>
          <w:p w:rsidR="005F74B5" w:rsidRPr="00F62A56" w:rsidRDefault="005F74B5" w:rsidP="005F74B5">
            <w:pPr>
              <w:jc w:val="center"/>
              <w:rPr>
                <w:b/>
                <w:sz w:val="40"/>
                <w:szCs w:val="40"/>
              </w:rPr>
            </w:pPr>
          </w:p>
        </w:tc>
        <w:tc>
          <w:tcPr>
            <w:tcW w:w="5573" w:type="dxa"/>
            <w:tcMar>
              <w:top w:w="14" w:type="dxa"/>
              <w:left w:w="14" w:type="dxa"/>
              <w:bottom w:w="14" w:type="dxa"/>
              <w:right w:w="14" w:type="dxa"/>
            </w:tcMar>
            <w:vAlign w:val="center"/>
          </w:tcPr>
          <w:p w:rsidR="005F74B5" w:rsidRPr="007C617B" w:rsidRDefault="005F74B5" w:rsidP="007C617B">
            <w:pPr>
              <w:jc w:val="center"/>
              <w:rPr>
                <w:sz w:val="28"/>
                <w:szCs w:val="28"/>
              </w:rPr>
            </w:pPr>
            <w:r w:rsidRPr="007C617B">
              <w:rPr>
                <w:sz w:val="28"/>
                <w:szCs w:val="28"/>
              </w:rPr>
              <w:t>A living document by which the United States is governed</w:t>
            </w:r>
          </w:p>
        </w:tc>
      </w:tr>
    </w:tbl>
    <w:p w:rsidR="00B723B2" w:rsidRDefault="00593F07">
      <w:bookmarkStart w:id="0" w:name="_GoBack"/>
      <w:bookmarkEnd w:id="0"/>
    </w:p>
    <w:sectPr w:rsidR="00B723B2" w:rsidSect="00E225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77C"/>
    <w:multiLevelType w:val="hybridMultilevel"/>
    <w:tmpl w:val="1E1C9A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1D"/>
    <w:rsid w:val="00530A16"/>
    <w:rsid w:val="00593F07"/>
    <w:rsid w:val="005F74B5"/>
    <w:rsid w:val="007C617B"/>
    <w:rsid w:val="00813A24"/>
    <w:rsid w:val="00B232CD"/>
    <w:rsid w:val="00B44F06"/>
    <w:rsid w:val="00E2251D"/>
    <w:rsid w:val="00E61EAF"/>
    <w:rsid w:val="00F6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720A9-B948-4227-B70F-8D114A78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2</cp:revision>
  <dcterms:created xsi:type="dcterms:W3CDTF">2012-02-13T01:00:00Z</dcterms:created>
  <dcterms:modified xsi:type="dcterms:W3CDTF">2012-02-13T02:26:00Z</dcterms:modified>
</cp:coreProperties>
</file>